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0" w:rsidRPr="00FF0E20" w:rsidRDefault="00FF0E20" w:rsidP="00FF0E20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F0E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Oggetto: 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OPPORTUNITÀ PER I COMUNI DELL’AREA INTERNA DEI MONTI DAUNI</w:t>
      </w:r>
      <w:r w:rsidRPr="00FF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     </w:t>
      </w:r>
      <w:r w:rsidRPr="00FF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 FONDO DI SOSTEGNO ALLE ATTIVITÀ ECONOMICHE, ARTIGIANALI E COMMERCIALI</w:t>
      </w:r>
      <w:r w:rsidRPr="00FF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F0E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                                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  <w:lang w:eastAsia="it-IT"/>
        </w:rPr>
        <w:t xml:space="preserve">Proposta GAL </w:t>
      </w:r>
      <w:proofErr w:type="spellStart"/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  <w:lang w:eastAsia="it-IT"/>
        </w:rPr>
        <w:t>Meridaunia</w:t>
      </w:r>
      <w:proofErr w:type="spellEnd"/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  <w:lang w:eastAsia="it-IT"/>
        </w:rPr>
        <w:t xml:space="preserve"> soggetto per Assistenza Tecnica</w:t>
      </w:r>
    </w:p>
    <w:p w:rsidR="00FF0E20" w:rsidRPr="00FF0E20" w:rsidRDefault="00FF0E20" w:rsidP="00FF0E2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53535"/>
          <w:lang w:eastAsia="it-IT"/>
        </w:rPr>
      </w:pP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 Gentilissimi Sindaci,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  <w:t xml:space="preserve">come sapete il GAL </w:t>
      </w:r>
      <w:proofErr w:type="spellStart"/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Meridaunia</w:t>
      </w:r>
      <w:proofErr w:type="spellEnd"/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 xml:space="preserve"> ha nelle sue funzione istituzionali e operative anche l’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informazione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 ai Comuni delle opportunità di sviluppo disponibili e, insieme, 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l’assistenza tecnica nella progettazione presentazione di domande di aiuto finalizzate all'erogazione di contributi.</w:t>
      </w:r>
    </w:p>
    <w:p w:rsidR="00FF0E20" w:rsidRPr="00FF0E20" w:rsidRDefault="00FF0E20" w:rsidP="00FF0E2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53535"/>
          <w:lang w:eastAsia="it-IT"/>
        </w:rPr>
      </w:pP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A tal proposito, vi portiamo a conoscenza della decisione del Governo, inserita nel Decreto varato il 15 settembre 2020 (non ancora pubblicato in G.U.), che prevede la ripartizione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 tra i Comuni delle aree interne e montane italiani 210 milioni di euro per il sostegno alle attività produttive economiche, artigianali e commerciali dei territori. Questa decisione coinvolgerà 3.101 Comuni Italiani.</w:t>
      </w:r>
    </w:p>
    <w:p w:rsidR="00FF0E20" w:rsidRPr="00FF0E20" w:rsidRDefault="00FF0E20" w:rsidP="00FF0E2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53535"/>
          <w:lang w:eastAsia="it-IT"/>
        </w:rPr>
      </w:pP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Grazie al lavoro come Agenzia di sviluppo del territorio, ed in particolare al lavoro di 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assistenza tecnica ai Comuni nella SNAI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 xml:space="preserve">, </w:t>
      </w:r>
      <w:proofErr w:type="spellStart"/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Meridaunia</w:t>
      </w:r>
      <w:proofErr w:type="spellEnd"/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 xml:space="preserve"> ha raggiunto una notevole esperienza nella 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predisposizione dei bandi e di tutti gli adempimenti necessari per la richiesta e l’erogazione di contribut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 xml:space="preserve">i, e sui diversi </w:t>
      </w:r>
      <w:proofErr w:type="spellStart"/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step</w:t>
      </w:r>
      <w:proofErr w:type="spellEnd"/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 xml:space="preserve"> progettuali (dallo studio del bando ai criteri di selezione, dalla presentazione della proposta, alle graduatorie ecc.) può vantare una consolidata competenza che avete più volte avuto modo di verificare.</w:t>
      </w:r>
    </w:p>
    <w:p w:rsidR="00FF0E20" w:rsidRPr="00FF0E20" w:rsidRDefault="00FF0E20" w:rsidP="00FF0E2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53535"/>
          <w:lang w:eastAsia="it-IT"/>
        </w:rPr>
      </w:pP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 xml:space="preserve">Per questo, </w:t>
      </w:r>
      <w:proofErr w:type="spellStart"/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Meridaunia</w:t>
      </w:r>
      <w:proofErr w:type="spellEnd"/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 xml:space="preserve"> si propone come 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  <w:lang w:eastAsia="it-IT"/>
        </w:rPr>
        <w:t>soggetto tecnico</w:t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 per assistere i Comuni dei Monti Dauni nella presentazione di domande di aiuto a valere sul Fondo messo a disposizione del DPCM di cui all’oggetto.</w:t>
      </w:r>
    </w:p>
    <w:p w:rsidR="00FF0E20" w:rsidRPr="00FF0E20" w:rsidRDefault="00FF0E20" w:rsidP="00FF0E2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53535"/>
          <w:lang w:eastAsia="it-IT"/>
        </w:rPr>
      </w:pP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In tal senso, abbiamo intenzione di organizzare a breve un </w:t>
      </w:r>
      <w:proofErr w:type="spellStart"/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webinar</w:t>
      </w:r>
      <w:proofErr w:type="spellEnd"/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 su zoom per dare le prime informazioni su questa opportunità.</w:t>
      </w:r>
    </w:p>
    <w:p w:rsidR="00FF0E20" w:rsidRPr="00FF0E20" w:rsidRDefault="00FF0E20" w:rsidP="00FF0E2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53535"/>
          <w:lang w:eastAsia="it-IT"/>
        </w:rPr>
      </w:pP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In attesa di un Vs positivo riscontro, anticipiamo una breve sintesi delle agevolazioni previste per i Comuni: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I Comuni potranno utilizzare il contributo per sostenere economicamente piccole e medie imprese del proprio territorio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, attraverso: 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  <w:t>- contributi a fondo perduto per spese di gestione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  <w:t>- sostegni alla ristrutturazione, ammodernamento, ampliamento, innovazione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  <w:t>- contributi a fondo perduto per acquisto di macchinari, impianti, arredi, attrezzature, opere murarie e impiantistiche.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Beneficiari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 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  <w:t xml:space="preserve">Per la definizione della platea dei Comuni beneficiari è stato utilizzato il criterio della perifericità e della minore dimensione demografica. La classificazione risale al 2014 ed è stata promossa all'interno della Strategia nazionale per le Aree interne. La "Nota tecnica" allegata al </w:t>
      </w:r>
      <w:proofErr w:type="spellStart"/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>Dpcm</w:t>
      </w:r>
      <w:proofErr w:type="spellEnd"/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t xml:space="preserve"> chiarisce come è stata composta la platea di Comuni beneficiari.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Le aziende da sostenere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  <w:t>I Comuni possono utilizzare il contributo assegnato per la realizzazione di azioni di sostegno economico in favore di piccole e micro imprese, anche al fine di contenere l'impatto dell'epidemia da Covid-19, che: A) svolgano attività economiche attraverso un'unità operativa ubicata nei territori dei Comuni, ovvero intraprendano nuove attività economiche nei suddetti territori comunali; 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  <w:t>B) sono regolarmente costituite e iscritte al registro delle imprese; non sono in stato di liquidazione o di fallimento e non sono soggette a procedure di fallimento o di concordato preventivo. 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</w: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lang w:eastAsia="it-IT"/>
        </w:rPr>
        <w:t>Le azioni di sostegno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  <w:t>Le azioni di sostegno economico possono ricomprendere: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lastRenderedPageBreak/>
        <w:t> A) erogazione di contributi a fondo perduto per spese di gestione; 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  <w:t> B) iniziative che agevolino la ristrutturazione, l'ammodernamento, l'ampliamento per innovazione di prodotto e di processo di attività artigianali e commerciali, incluse le innovazioni tecnologiche indotte dalla digitalizzazione dei processi di marketing on line e di vendita a distanza, attraverso l'attribuzione alle imprese di contributi in conto capitale ovvero l'erogazione di contributi a fondo perduto per l'acquisto di macchinari, impianti, arredi e attrezzature varie, per investimenti immateriali, per opere murarie e impiantistiche necessarie per l'installazione e il collegamento dei macchinari e dei nuovi impianti produttivi acquisiti.</w:t>
      </w:r>
    </w:p>
    <w:p w:rsidR="00FF0E20" w:rsidRPr="00FF0E20" w:rsidRDefault="00FF0E20" w:rsidP="00FF0E20">
      <w:pPr>
        <w:spacing w:after="0" w:line="360" w:lineRule="atLeast"/>
        <w:rPr>
          <w:rFonts w:ascii="Arial" w:eastAsia="Times New Roman" w:hAnsi="Arial" w:cs="Arial"/>
          <w:color w:val="353535"/>
          <w:lang w:eastAsia="it-IT"/>
        </w:rPr>
      </w:pPr>
      <w:r w:rsidRPr="00FF0E20">
        <w:rPr>
          <w:rFonts w:ascii="Arial" w:eastAsia="Times New Roman" w:hAnsi="Arial" w:cs="Arial"/>
          <w:b/>
          <w:bCs/>
          <w:color w:val="353535"/>
          <w:sz w:val="20"/>
          <w:szCs w:val="20"/>
          <w:shd w:val="clear" w:color="auto" w:fill="FFFFFF"/>
          <w:lang w:eastAsia="it-IT"/>
        </w:rPr>
        <w:t>Triennalità del fondo</w:t>
      </w:r>
      <w:r w:rsidRPr="00FF0E20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eastAsia="it-IT"/>
        </w:rPr>
        <w:br/>
        <w:t xml:space="preserve">Il fondo è triennale e i Comuni riceveranno la prima annualità con la pubblicazione in Gazzetta Ufficiale del </w:t>
      </w:r>
      <w:proofErr w:type="spellStart"/>
      <w:r w:rsidRPr="00FF0E20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eastAsia="it-IT"/>
        </w:rPr>
        <w:t>Dpcm</w:t>
      </w:r>
      <w:proofErr w:type="spellEnd"/>
      <w:r w:rsidRPr="00FF0E20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eastAsia="it-IT"/>
        </w:rPr>
        <w:t>. Per le annualità successive alla prima, l'erogazione è subordinata al completo utilizzo delle risorse erogate in riferimento alle precedenti annualità.</w:t>
      </w:r>
      <w:r w:rsidRPr="00FF0E20">
        <w:rPr>
          <w:rFonts w:ascii="Arial" w:eastAsia="Times New Roman" w:hAnsi="Arial" w:cs="Arial"/>
          <w:color w:val="353535"/>
          <w:sz w:val="20"/>
          <w:szCs w:val="20"/>
          <w:lang w:eastAsia="it-IT"/>
        </w:rPr>
        <w:br/>
      </w:r>
    </w:p>
    <w:p w:rsidR="00F82540" w:rsidRDefault="00F82540">
      <w:bookmarkStart w:id="0" w:name="_GoBack"/>
      <w:bookmarkEnd w:id="0"/>
    </w:p>
    <w:sectPr w:rsidR="00F82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68"/>
    <w:rsid w:val="00494D68"/>
    <w:rsid w:val="00F82540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2020-11-12T09:51:00Z</dcterms:created>
  <dcterms:modified xsi:type="dcterms:W3CDTF">2020-11-12T09:52:00Z</dcterms:modified>
</cp:coreProperties>
</file>